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全市教育系统易燃可燃夹芯材料彩钢板</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综合整治工作方案</w:t>
      </w:r>
    </w:p>
    <w:p>
      <w:pPr>
        <w:pStyle w:val="2"/>
        <w:rPr>
          <w:rFonts w:hint="eastAsia" w:ascii="仿宋" w:hAnsi="仿宋" w:eastAsia="仿宋" w:cs="仿宋"/>
          <w:color w:val="000000"/>
          <w:sz w:val="32"/>
          <w:szCs w:val="32"/>
          <w:lang w:eastAsia="zh-CN" w:bidi="zh-TW"/>
        </w:rPr>
      </w:pPr>
      <w:r>
        <w:rPr>
          <w:rFonts w:hint="eastAsia" w:ascii="仿宋" w:hAnsi="仿宋" w:eastAsia="仿宋" w:cs="仿宋"/>
          <w:color w:val="000000"/>
          <w:sz w:val="32"/>
          <w:szCs w:val="32"/>
          <w:lang w:eastAsia="zh-CN" w:bidi="zh-TW"/>
        </w:rPr>
        <w:t>　　</w:t>
      </w:r>
    </w:p>
    <w:p>
      <w:pPr>
        <w:pStyle w:val="2"/>
        <w:ind w:firstLine="64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eastAsia="zh-TW" w:bidi="zh-TW"/>
        </w:rPr>
        <w:t>为深刻汲取商丘市柘城县“6.25”重大火灾事故教训，坚决预防和遏制彩钢板建筑火灾多发势头，</w:t>
      </w:r>
      <w:r>
        <w:rPr>
          <w:rFonts w:hint="eastAsia" w:ascii="仿宋_GB2312" w:hAnsi="仿宋_GB2312" w:eastAsia="仿宋_GB2312" w:cs="仿宋_GB2312"/>
          <w:color w:val="000000"/>
          <w:sz w:val="32"/>
          <w:szCs w:val="32"/>
          <w:lang w:val="en-US" w:eastAsia="zh-CN" w:bidi="zh-TW"/>
        </w:rPr>
        <w:t>根据省教育厅办公室《关于印发全省教育系统易燃可燃夹芯材料彩钢板综合整治工作方案的通知》（教办安全〔2021〕250号）精神</w:t>
      </w:r>
      <w:r>
        <w:rPr>
          <w:rFonts w:hint="eastAsia" w:ascii="仿宋_GB2312" w:hAnsi="仿宋_GB2312" w:eastAsia="仿宋_GB2312" w:cs="仿宋_GB2312"/>
          <w:color w:val="000000"/>
          <w:sz w:val="32"/>
          <w:szCs w:val="32"/>
          <w:lang w:eastAsia="zh-TW" w:bidi="zh-TW"/>
        </w:rPr>
        <w:t>，</w:t>
      </w:r>
      <w:r>
        <w:rPr>
          <w:rFonts w:hint="eastAsia" w:ascii="仿宋_GB2312" w:hAnsi="仿宋_GB2312" w:eastAsia="仿宋_GB2312" w:cs="仿宋_GB2312"/>
          <w:color w:val="000000"/>
          <w:sz w:val="32"/>
          <w:szCs w:val="32"/>
          <w:lang w:val="en-US" w:eastAsia="zh-CN" w:bidi="zh-TW"/>
        </w:rPr>
        <w:t>决定在全市教育系统（包含各级各类学校、幼儿园、校外教育培训机构等）开展易燃可燃夹芯彩钢板综合整治工作。特制定如下工作方案：</w:t>
      </w:r>
    </w:p>
    <w:p>
      <w:pPr>
        <w:pStyle w:val="2"/>
        <w:numPr>
          <w:ilvl w:val="0"/>
          <w:numId w:val="1"/>
        </w:numPr>
        <w:ind w:firstLine="640"/>
        <w:rPr>
          <w:rFonts w:hint="eastAsia" w:ascii="黑体" w:hAnsi="黑体" w:eastAsia="黑体" w:cs="黑体"/>
          <w:color w:val="000000"/>
          <w:sz w:val="32"/>
          <w:szCs w:val="32"/>
          <w:lang w:val="en-US" w:eastAsia="zh-CN" w:bidi="zh-TW"/>
        </w:rPr>
      </w:pPr>
      <w:r>
        <w:rPr>
          <w:rFonts w:hint="eastAsia" w:ascii="黑体" w:hAnsi="黑体" w:eastAsia="黑体" w:cs="黑体"/>
          <w:color w:val="000000"/>
          <w:sz w:val="32"/>
          <w:szCs w:val="32"/>
          <w:lang w:val="en-US" w:eastAsia="zh-CN" w:bidi="zh-TW"/>
        </w:rPr>
        <w:t>工作目标</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认真贯彻落实习近平总书记关于安全生产的重要指示精神，按照省、市统一部署，深入推进消防安全专项整治三年行动，全面摸排全市教育系统彩钢板安全状况，集中开展易燃可燃夹芯材料彩钢板安全隐患大排查大整治，集中拆除一批违规使用的易燃可燃彩钢板，曝光一批违法违规行为，关停一批隐患严重单位，全力预防和减少亡人火灾事故，确保全市教育系统火灾形势持续稳定。</w:t>
      </w:r>
    </w:p>
    <w:p>
      <w:pPr>
        <w:pStyle w:val="2"/>
        <w:numPr>
          <w:ilvl w:val="0"/>
          <w:numId w:val="1"/>
        </w:numPr>
        <w:ind w:firstLine="640"/>
        <w:rPr>
          <w:rFonts w:hint="eastAsia" w:ascii="黑体" w:hAnsi="黑体" w:eastAsia="黑体" w:cs="黑体"/>
          <w:color w:val="000000"/>
          <w:sz w:val="32"/>
          <w:szCs w:val="32"/>
          <w:lang w:val="en-US" w:eastAsia="zh-CN" w:bidi="zh-TW"/>
        </w:rPr>
      </w:pPr>
      <w:r>
        <w:rPr>
          <w:rFonts w:hint="eastAsia" w:ascii="黑体" w:hAnsi="黑体" w:eastAsia="黑体" w:cs="黑体"/>
          <w:color w:val="000000"/>
          <w:sz w:val="32"/>
          <w:szCs w:val="32"/>
          <w:lang w:val="en-US" w:eastAsia="zh-CN" w:bidi="zh-TW"/>
        </w:rPr>
        <w:t>整治范围和重点</w:t>
      </w:r>
    </w:p>
    <w:p>
      <w:pPr>
        <w:pStyle w:val="2"/>
        <w:numPr>
          <w:ilvl w:val="0"/>
          <w:numId w:val="2"/>
        </w:numPr>
        <w:ind w:left="640" w:leftChars="0" w:firstLine="0" w:firstLineChars="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整治范围</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全市教育系统所有使用易燃可燃夹芯材料彩钢板的建筑（构）物。</w:t>
      </w:r>
    </w:p>
    <w:p>
      <w:pPr>
        <w:pStyle w:val="2"/>
        <w:numPr>
          <w:ilvl w:val="0"/>
          <w:numId w:val="2"/>
        </w:numPr>
        <w:ind w:left="640" w:leftChars="0" w:firstLine="0" w:firstLineChars="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整治重点</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1.用于人员密集场所的彩钢夹芯板和彩钢复合保温材料的建（构）筑物。包括但不限于学校的教学楼、图书馆、食堂、学生及教职工宿舍、体育场馆、报告厅、展厅、校内宾馆、超市等各类人员聚集场所。</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2.用于建筑工程施工现场内部的彩钢夹芯板和彩钢复合保温材料的建（构）筑物。包括在学校施工现场建造的、为建设施工服务的办公用房、宿舍、厨房操作间、食堂、库房等各类非永久性彩钢夹芯板建筑。</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3.用于生产、加工场所和库房的彩钢夹芯板和彩钢板复合保温材料的建（构）筑物。包括在开展实践教学活动过程中用于各类实验、生产、加工、仓储的厂房等各类彩钢夹芯板建筑。</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4.其他使用彩钢夹芯板和彩钢板复合保温材料的建（构）筑物。</w:t>
      </w:r>
    </w:p>
    <w:p>
      <w:pPr>
        <w:pStyle w:val="2"/>
        <w:numPr>
          <w:ilvl w:val="0"/>
          <w:numId w:val="1"/>
        </w:numPr>
        <w:ind w:firstLine="640"/>
        <w:rPr>
          <w:rFonts w:hint="eastAsia" w:ascii="黑体" w:hAnsi="黑体" w:eastAsia="黑体" w:cs="黑体"/>
          <w:color w:val="000000"/>
          <w:sz w:val="32"/>
          <w:szCs w:val="32"/>
          <w:lang w:val="en-US" w:eastAsia="zh-CN" w:bidi="zh-TW"/>
        </w:rPr>
      </w:pPr>
      <w:r>
        <w:rPr>
          <w:rFonts w:hint="eastAsia" w:ascii="黑体" w:hAnsi="黑体" w:eastAsia="黑体" w:cs="黑体"/>
          <w:color w:val="000000"/>
          <w:sz w:val="32"/>
          <w:szCs w:val="32"/>
          <w:lang w:val="en-US" w:eastAsia="zh-CN" w:bidi="zh-TW"/>
        </w:rPr>
        <w:t>整治措施</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1.对未经消防验收、违规使用易燃可燃材料彩钢板搭建建筑的，一律停业整顿。</w:t>
      </w:r>
      <w:bookmarkStart w:id="0" w:name="bookmark25"/>
      <w:bookmarkEnd w:id="0"/>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2.对使用彩钢板搭建的人员密集场所且有人员居住，夹芯材料燃烧性能低于A级要求的，一律实施临时查封，并责令改变用途，对无法改变的，必须拆除。</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bookmarkStart w:id="1" w:name="bookmark26"/>
      <w:bookmarkEnd w:id="1"/>
      <w:r>
        <w:rPr>
          <w:rFonts w:hint="eastAsia" w:ascii="仿宋_GB2312" w:hAnsi="仿宋_GB2312" w:eastAsia="仿宋_GB2312" w:cs="仿宋_GB2312"/>
          <w:color w:val="000000"/>
          <w:sz w:val="32"/>
          <w:szCs w:val="32"/>
          <w:lang w:val="en-US" w:eastAsia="zh-CN" w:bidi="zh-TW"/>
        </w:rPr>
        <w:t>3.对建设工程施工工地搭建的现场人员办公、住宿等彩钢板临时用房，建筑材料和彩钢板芯材达不到A级要求的，一律实施查封并责令限期拆除；情节严重的，责令工程项目停止施工并限期整改；对整改仍达不到要求或拒不停工整改的，依法暂扣吊销安全生产许可证。</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bookmarkStart w:id="2" w:name="bookmark28"/>
      <w:bookmarkEnd w:id="2"/>
      <w:bookmarkStart w:id="3" w:name="bookmark27"/>
      <w:bookmarkEnd w:id="3"/>
      <w:r>
        <w:rPr>
          <w:rFonts w:hint="eastAsia" w:ascii="仿宋_GB2312" w:hAnsi="仿宋_GB2312" w:eastAsia="仿宋_GB2312" w:cs="仿宋_GB2312"/>
          <w:color w:val="000000"/>
          <w:sz w:val="32"/>
          <w:szCs w:val="32"/>
          <w:lang w:val="en-US" w:eastAsia="zh-CN" w:bidi="zh-TW"/>
        </w:rPr>
        <w:t>4.对违规搭建彩钢板临时建筑占用防火间距、堵塞消防通道的，一律依法拆除。</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bookmarkStart w:id="4" w:name="bookmark29"/>
      <w:bookmarkEnd w:id="4"/>
      <w:r>
        <w:rPr>
          <w:rFonts w:hint="eastAsia" w:ascii="仿宋_GB2312" w:hAnsi="仿宋_GB2312" w:eastAsia="仿宋_GB2312" w:cs="仿宋_GB2312"/>
          <w:color w:val="000000"/>
          <w:sz w:val="32"/>
          <w:szCs w:val="32"/>
          <w:lang w:val="en-US" w:eastAsia="zh-CN" w:bidi="zh-TW"/>
        </w:rPr>
        <w:t>5.对违法建设的彩钢板建筑，商请当地规划、城市管理等部门进行查处，切实消除隐患，确保消防安全。</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bookmarkStart w:id="5" w:name="bookmark30"/>
      <w:bookmarkEnd w:id="5"/>
      <w:r>
        <w:rPr>
          <w:rFonts w:hint="eastAsia" w:ascii="仿宋_GB2312" w:hAnsi="仿宋_GB2312" w:eastAsia="仿宋_GB2312" w:cs="仿宋_GB2312"/>
          <w:color w:val="000000"/>
          <w:sz w:val="32"/>
          <w:szCs w:val="32"/>
          <w:lang w:val="en-US" w:eastAsia="zh-CN" w:bidi="zh-TW"/>
        </w:rPr>
        <w:t>6.对使用易燃可燃材料作为夹芯层或复合保温层的彩钢板建筑存在重大火灾隐患的，商请有关部门依法下达《重大火灾隐患整改通知书》,跟踪督促整改；严重影响公共安全的，按程序提请当地政府进行挂牌督办。</w:t>
      </w:r>
    </w:p>
    <w:p>
      <w:pPr>
        <w:pStyle w:val="2"/>
        <w:numPr>
          <w:numId w:val="0"/>
        </w:numPr>
        <w:ind w:firstLine="640" w:firstLineChars="200"/>
        <w:rPr>
          <w:rFonts w:hint="eastAsia" w:ascii="黑体" w:hAnsi="黑体" w:eastAsia="黑体" w:cs="黑体"/>
          <w:color w:val="000000"/>
          <w:sz w:val="32"/>
          <w:szCs w:val="32"/>
          <w:lang w:val="en-US" w:eastAsia="zh-CN" w:bidi="zh-TW"/>
        </w:rPr>
      </w:pPr>
      <w:r>
        <w:rPr>
          <w:rFonts w:hint="eastAsia" w:ascii="黑体" w:hAnsi="黑体" w:eastAsia="黑体" w:cs="黑体"/>
          <w:color w:val="000000"/>
          <w:sz w:val="32"/>
          <w:szCs w:val="32"/>
          <w:lang w:val="en-US" w:eastAsia="zh-CN" w:bidi="zh-TW"/>
        </w:rPr>
        <w:t>四、工作步骤</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一）动员部署阶段（即日起至9月20日）。各开发区教育局、各区县（市）教育局、各学校（单位）要根据本辖区、本学校工作实际，制定针对性强、符合教育行业特点的综合整治工作方案，成立工作机构，召开动员会议，进行安排部署。要充分利用报刊、电视、微信等媒体平台发布公告</w:t>
      </w:r>
      <w:bookmarkStart w:id="6" w:name="bookmark55"/>
      <w:bookmarkEnd w:id="6"/>
      <w:r>
        <w:rPr>
          <w:rFonts w:hint="eastAsia" w:ascii="仿宋_GB2312" w:hAnsi="仿宋_GB2312" w:eastAsia="仿宋_GB2312" w:cs="仿宋_GB2312"/>
          <w:color w:val="000000"/>
          <w:sz w:val="32"/>
          <w:szCs w:val="32"/>
          <w:lang w:val="en-US" w:eastAsia="zh-CN" w:bidi="zh-TW"/>
        </w:rPr>
        <w:t>，动员多方面力量参与综合整治。</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二）自查自改阶段（2021年9月20日至9月30日）。各学校（单位）主要负责人要对照整治要求，立即组织开展自查自纠，并填写自查自纠报告。对存在问题的，应自行拆除或更换；对一时难以整改的，要制定详细整改方案，并将相关情况报上级主管部门。</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（三）全面排查阶段（2021年10月1日至11月10日）。各开发区教育局、各区县（市）教育局要对本辖区内所有学校（单位）的彩钢板建筑进行一次拉网式摸排，建立档案，全面摸清彩钢板建筑底数和基本情况。</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四）集中整治阶段（2021年11月11日至12月10日）。各开发区教育局、各区县（市）教育局、各学校（单位）要对照排查档案逐一核实，全面开展整治工作。对存在问题、隐患的学校（单位），能整改的要责令立即整改，对拒不整改的，要用足用全法律手段，采取强有力的措施进行整改，彻底消除火灾隐患，绝不姑息纵容。</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bookmarkStart w:id="7" w:name="bookmark59"/>
      <w:r>
        <w:rPr>
          <w:rFonts w:hint="eastAsia" w:ascii="仿宋_GB2312" w:hAnsi="仿宋_GB2312" w:eastAsia="仿宋_GB2312" w:cs="仿宋_GB2312"/>
          <w:color w:val="000000"/>
          <w:sz w:val="32"/>
          <w:szCs w:val="32"/>
          <w:lang w:val="en-US" w:eastAsia="zh-CN" w:bidi="zh-TW"/>
        </w:rPr>
        <w:t>（</w:t>
      </w:r>
      <w:bookmarkEnd w:id="7"/>
      <w:r>
        <w:rPr>
          <w:rFonts w:hint="eastAsia" w:ascii="仿宋_GB2312" w:hAnsi="仿宋_GB2312" w:eastAsia="仿宋_GB2312" w:cs="仿宋_GB2312"/>
          <w:color w:val="000000"/>
          <w:sz w:val="32"/>
          <w:szCs w:val="32"/>
          <w:lang w:val="en-US" w:eastAsia="zh-CN" w:bidi="zh-TW"/>
        </w:rPr>
        <w:t>五）总结巩固阶段（2021年12月11日至12月30日）。各开发区教育局、各区县（市）教育局、各学校（单位）要对此次综合整治工作情况进行总结，研究建立长效排查整治机制，推动相关制度方案，巩固拓展工作成果。届时，郑州市教育局将组成督导组对综合整治工作进行督导。</w:t>
      </w:r>
    </w:p>
    <w:p>
      <w:pPr>
        <w:pStyle w:val="2"/>
        <w:numPr>
          <w:numId w:val="0"/>
        </w:numPr>
        <w:ind w:firstLine="640" w:firstLineChars="200"/>
        <w:rPr>
          <w:rFonts w:hint="eastAsia" w:ascii="黑体" w:hAnsi="黑体" w:eastAsia="黑体" w:cs="黑体"/>
          <w:color w:val="000000"/>
          <w:sz w:val="32"/>
          <w:szCs w:val="32"/>
          <w:lang w:val="en-US" w:eastAsia="zh-CN" w:bidi="zh-TW"/>
        </w:rPr>
      </w:pPr>
      <w:bookmarkStart w:id="8" w:name="_GoBack"/>
      <w:r>
        <w:rPr>
          <w:rFonts w:hint="eastAsia" w:ascii="黑体" w:hAnsi="黑体" w:eastAsia="黑体" w:cs="黑体"/>
          <w:color w:val="000000"/>
          <w:sz w:val="32"/>
          <w:szCs w:val="32"/>
          <w:lang w:val="en-US" w:eastAsia="zh-CN" w:bidi="zh-TW"/>
        </w:rPr>
        <w:t>五、工作要求</w:t>
      </w:r>
    </w:p>
    <w:bookmarkEnd w:id="8"/>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（一）高度重视，强化责任。各开发区教育局、各区县（市）教育局、各学校（单位）</w:t>
      </w:r>
      <w:r>
        <w:rPr>
          <w:rFonts w:hint="eastAsia" w:ascii="仿宋_GB2312" w:hAnsi="仿宋_GB2312" w:eastAsia="仿宋_GB2312" w:cs="仿宋_GB2312"/>
          <w:color w:val="000000"/>
          <w:sz w:val="32"/>
          <w:szCs w:val="32"/>
          <w:lang w:eastAsia="zh-TW" w:bidi="zh-TW"/>
        </w:rPr>
        <w:t>要深刻汲取商丘市柘城县</w:t>
      </w:r>
      <w:r>
        <w:rPr>
          <w:rFonts w:hint="eastAsia" w:ascii="仿宋_GB2312" w:hAnsi="仿宋_GB2312" w:eastAsia="仿宋_GB2312" w:cs="仿宋_GB2312"/>
          <w:color w:val="000000"/>
          <w:sz w:val="32"/>
          <w:szCs w:val="32"/>
          <w:lang w:eastAsia="zh-TW" w:bidi="en-US"/>
        </w:rPr>
        <w:t>“6.25”</w:t>
      </w:r>
      <w:r>
        <w:rPr>
          <w:rFonts w:hint="eastAsia" w:ascii="仿宋_GB2312" w:hAnsi="仿宋_GB2312" w:eastAsia="仿宋_GB2312" w:cs="仿宋_GB2312"/>
          <w:color w:val="000000"/>
          <w:sz w:val="32"/>
          <w:szCs w:val="32"/>
          <w:lang w:eastAsia="zh-TW" w:bidi="zh-TW"/>
        </w:rPr>
        <w:t>重大火灾事故教训，清醒认识当前严峻的消防安全形势，把此次综合整治工作作为当前一项重要工作抓实抓细。</w:t>
      </w:r>
      <w:r>
        <w:rPr>
          <w:rFonts w:hint="eastAsia" w:ascii="仿宋_GB2312" w:hAnsi="仿宋_GB2312" w:eastAsia="仿宋_GB2312" w:cs="仿宋_GB2312"/>
          <w:color w:val="000000"/>
          <w:sz w:val="32"/>
          <w:szCs w:val="32"/>
          <w:lang w:val="en-US" w:eastAsia="zh-CN" w:bidi="zh-TW"/>
        </w:rPr>
        <w:t>要成立由主要负责人任组长，相关负责人为成员的综合整治领导小组，具体负责综合整治的组织协调、方案制定、信息收集、工作总结、督导检查等工作。要实行“一把手”负责制，主要负责人亲自研究部署，分管负责人亲自督办、调度指挥。</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二）加强协作，形成合力。各开发区教育局、各区县（市）教育局要建立健全信息共享、情况通报、联合查处等联动机制。要商请当地有关部门加强对各级各类学校及校外培训机构的排查整治、依法严肃查处各类违法违规行为，形成监管合力，及时消除火灾隐患。对工作流于形式、履职不到位、有禁不止的，在责令落实整改措施的同时，对所属单位进行通报批评，并对负责人诫勉谈话。因履行职责不到位，导致辖区发生彩钢板建筑火灾、造成人员伤亡或重大财产损失的，严肃追究有关单位和人员的责任。</w:t>
      </w:r>
    </w:p>
    <w:p>
      <w:pPr>
        <w:pStyle w:val="2"/>
        <w:numPr>
          <w:numId w:val="0"/>
        </w:numPr>
        <w:ind w:firstLine="640" w:firstLineChars="200"/>
        <w:rPr>
          <w:rFonts w:hint="eastAsia" w:ascii="仿宋_GB2312" w:hAnsi="仿宋_GB2312" w:eastAsia="仿宋_GB2312" w:cs="仿宋_GB2312"/>
          <w:color w:val="000000"/>
          <w:sz w:val="32"/>
          <w:szCs w:val="32"/>
          <w:lang w:val="en-US" w:eastAsia="zh-CN" w:bidi="zh-TW"/>
        </w:rPr>
      </w:pPr>
      <w:r>
        <w:rPr>
          <w:rFonts w:hint="eastAsia" w:ascii="仿宋_GB2312" w:hAnsi="仿宋_GB2312" w:eastAsia="仿宋_GB2312" w:cs="仿宋_GB2312"/>
          <w:color w:val="000000"/>
          <w:sz w:val="32"/>
          <w:szCs w:val="32"/>
          <w:lang w:val="en-US" w:eastAsia="zh-CN" w:bidi="zh-TW"/>
        </w:rPr>
        <w:t>（三）密集宣传，营造声势。各开发区教育局、各区县（市）教育局要集中宣传违章搭建彩钢板建筑的危害性，剖析近年来典型火灾、坍塌等事故教训，提升安全意识。要利用好新媒体平台，通过官方网站、微信公众号、微信工作群等渠道，集中宣传综合整治行动成效，及时曝光重大火灾隐患和消防违法行为，形成强大的舆论声势。</w:t>
      </w:r>
    </w:p>
    <w:p>
      <w:pPr>
        <w:pStyle w:val="2"/>
        <w:numPr>
          <w:numId w:val="0"/>
        </w:num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bidi="zh-TW"/>
        </w:rPr>
        <w:t>9月20日前，</w:t>
      </w:r>
      <w:r>
        <w:rPr>
          <w:rFonts w:hint="eastAsia" w:ascii="仿宋_GB2312" w:hAnsi="仿宋_GB2312" w:eastAsia="仿宋_GB2312" w:cs="仿宋_GB2312"/>
          <w:color w:val="000000"/>
          <w:sz w:val="32"/>
          <w:szCs w:val="32"/>
          <w:lang w:val="en-US" w:eastAsia="zh-CN"/>
        </w:rPr>
        <w:t>各开发区教育局、各区县（市）教育局、各直属学校要上报实施方案；12月5日前，要梳理汇总综合整治排查情况，认真填写《全市教育系统易燃可燃夹芯材料彩钢板综合整治排查明细表》（附件1）和《全市教育系统易燃可燃夹芯材料彩钢板综合整治情况汇总表》（附件2），连同阶段性工作总结一同报送郑州市教育局；12月28日前报送工作总结，所有材料均要求一式两份，一份为电子文档，一份为PDF格式扫描件，经由主要负责人签字加盖公章</w:t>
      </w:r>
      <w:r>
        <w:rPr>
          <w:rFonts w:hint="eastAsia" w:ascii="仿宋_GB2312" w:hAnsi="仿宋_GB2312" w:eastAsia="仿宋_GB2312" w:cs="仿宋_GB2312"/>
          <w:color w:val="000000"/>
          <w:sz w:val="32"/>
          <w:szCs w:val="32"/>
          <w:lang w:val="en-US" w:eastAsia="zh-CN" w:bidi="zh-TW"/>
        </w:rPr>
        <w:t>。</w:t>
      </w:r>
      <w:r>
        <w:rPr>
          <w:rFonts w:hint="eastAsia" w:ascii="仿宋_GB2312" w:hAnsi="仿宋_GB2312" w:eastAsia="仿宋_GB2312" w:cs="仿宋_GB2312"/>
          <w:color w:val="000000"/>
          <w:sz w:val="32"/>
          <w:szCs w:val="32"/>
          <w:lang w:val="en-US" w:eastAsia="zh-CN"/>
        </w:rPr>
        <w:t xml:space="preserve">各开发区教育局、各区县（市）教育局、各直属学校通过学安平台进行报送，市属各民办高中、中专学校报送至市教育局民办处（zzedumbc@126.com），郑州地方高校报送至市教育局高教处（gaojiaochu@163.com）。 </w:t>
      </w:r>
    </w:p>
    <w:p>
      <w:pPr>
        <w:pStyle w:val="2"/>
        <w:numPr>
          <w:numId w:val="0"/>
        </w:numPr>
        <w:ind w:firstLine="640" w:firstLineChars="200"/>
        <w:rPr>
          <w:rFonts w:hint="eastAsia" w:ascii="仿宋_GB2312" w:hAnsi="仿宋_GB2312" w:eastAsia="仿宋_GB2312" w:cs="仿宋_GB2312"/>
          <w:color w:val="000000"/>
          <w:sz w:val="32"/>
          <w:szCs w:val="32"/>
          <w:lang w:val="en-US" w:eastAsia="zh-CN"/>
        </w:rPr>
      </w:pPr>
    </w:p>
    <w:p>
      <w:pPr>
        <w:pStyle w:val="2"/>
        <w:numPr>
          <w:numId w:val="0"/>
        </w:numPr>
        <w:ind w:left="1598" w:leftChars="304" w:hanging="960" w:hangingChars="3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附件：1.全市教育系统易燃可燃夹芯材料彩钢板综合整治排查明细表</w:t>
      </w:r>
    </w:p>
    <w:p>
      <w:pPr>
        <w:pStyle w:val="2"/>
        <w:numPr>
          <w:numId w:val="0"/>
        </w:numPr>
        <w:ind w:left="1596" w:leftChars="760"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2.全市教育系统易燃可燃夹芯材料彩钢板综合整治情况汇总表</w:t>
      </w:r>
    </w:p>
    <w:p>
      <w:pPr>
        <w:pStyle w:val="2"/>
        <w:numPr>
          <w:numId w:val="0"/>
        </w:numPr>
        <w:ind w:firstLine="640" w:firstLineChars="200"/>
        <w:rPr>
          <w:rFonts w:hint="default" w:ascii="仿宋" w:hAnsi="仿宋" w:eastAsia="仿宋" w:cs="仿宋"/>
          <w:sz w:val="32"/>
          <w:szCs w:val="32"/>
          <w:lang w:val="en-US" w:eastAsia="zh-CN"/>
        </w:rPr>
      </w:pPr>
    </w:p>
    <w:p>
      <w:pPr>
        <w:pStyle w:val="2"/>
        <w:numPr>
          <w:numId w:val="0"/>
        </w:numPr>
        <w:ind w:firstLine="640" w:firstLineChars="200"/>
        <w:rPr>
          <w:rFonts w:hint="default" w:ascii="仿宋" w:hAnsi="仿宋" w:eastAsia="仿宋" w:cs="仿宋"/>
          <w:color w:val="000000"/>
          <w:sz w:val="32"/>
          <w:szCs w:val="32"/>
          <w:lang w:val="en-US" w:eastAsia="zh-CN" w:bidi="zh-TW"/>
        </w:rPr>
      </w:pPr>
    </w:p>
    <w:p>
      <w:pPr>
        <w:pStyle w:val="2"/>
        <w:numPr>
          <w:numId w:val="0"/>
        </w:numPr>
        <w:ind w:firstLine="640" w:firstLineChars="200"/>
        <w:rPr>
          <w:rFonts w:hint="eastAsia" w:ascii="仿宋" w:hAnsi="仿宋" w:eastAsia="仿宋" w:cs="仿宋"/>
          <w:color w:val="000000"/>
          <w:sz w:val="32"/>
          <w:szCs w:val="32"/>
          <w:lang w:val="en-US" w:eastAsia="zh-CN" w:bidi="zh-TW"/>
        </w:rPr>
      </w:pPr>
    </w:p>
    <w:p>
      <w:pPr>
        <w:pStyle w:val="2"/>
        <w:numPr>
          <w:numId w:val="0"/>
        </w:numPr>
        <w:ind w:firstLine="640" w:firstLineChars="200"/>
        <w:rPr>
          <w:rFonts w:hint="default" w:ascii="仿宋" w:hAnsi="仿宋" w:eastAsia="仿宋" w:cs="仿宋"/>
          <w:color w:val="000000"/>
          <w:sz w:val="32"/>
          <w:szCs w:val="32"/>
          <w:lang w:val="en-US" w:eastAsia="zh-CN" w:bidi="zh-TW"/>
        </w:rPr>
      </w:pPr>
    </w:p>
    <w:p>
      <w:pPr>
        <w:pStyle w:val="2"/>
        <w:numPr>
          <w:numId w:val="0"/>
        </w:numPr>
        <w:rPr>
          <w:rFonts w:hint="default" w:ascii="仿宋" w:hAnsi="仿宋" w:eastAsia="仿宋" w:cs="仿宋"/>
          <w:color w:val="000000"/>
          <w:sz w:val="32"/>
          <w:szCs w:val="32"/>
          <w:lang w:val="en-US" w:eastAsia="zh-CN" w:bidi="zh-TW"/>
        </w:rPr>
      </w:pPr>
    </w:p>
    <w:p>
      <w:pPr>
        <w:pStyle w:val="2"/>
        <w:wordWrap/>
        <w:jc w:val="both"/>
        <w:rPr>
          <w:rFonts w:hint="default" w:ascii="仿宋" w:hAnsi="仿宋" w:eastAsia="仿宋" w:cs="仿宋"/>
          <w:color w:val="000000"/>
          <w:spacing w:val="-6"/>
          <w:sz w:val="32"/>
          <w:szCs w:val="32"/>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57748975">
    <w:nsid w:val="B6418BEF"/>
    <w:multiLevelType w:val="singleLevel"/>
    <w:tmpl w:val="B6418BEF"/>
    <w:lvl w:ilvl="0" w:tentative="1">
      <w:start w:val="1"/>
      <w:numFmt w:val="chineseCounting"/>
      <w:suff w:val="nothing"/>
      <w:lvlText w:val="%1、"/>
      <w:lvlJc w:val="left"/>
      <w:rPr>
        <w:rFonts w:hint="eastAsia"/>
      </w:rPr>
    </w:lvl>
  </w:abstractNum>
  <w:abstractNum w:abstractNumId="1337801804">
    <w:nsid w:val="4FBD3C4C"/>
    <w:multiLevelType w:val="singleLevel"/>
    <w:tmpl w:val="4FBD3C4C"/>
    <w:lvl w:ilvl="0" w:tentative="1">
      <w:start w:val="1"/>
      <w:numFmt w:val="chineseCounting"/>
      <w:suff w:val="nothing"/>
      <w:lvlText w:val="（%1）"/>
      <w:lvlJc w:val="left"/>
      <w:pPr>
        <w:ind w:left="640" w:leftChars="0" w:firstLine="0" w:firstLineChars="0"/>
      </w:pPr>
      <w:rPr>
        <w:rFonts w:hint="eastAsia"/>
      </w:rPr>
    </w:lvl>
  </w:abstractNum>
  <w:num w:numId="1">
    <w:abstractNumId w:val="3057748975"/>
  </w:num>
  <w:num w:numId="2">
    <w:abstractNumId w:val="13378018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customStyle="1" w:styleId="2">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2021-09-13T09:36:00Z</dcterms:created>
  <dc:creator>lenovo</dc:creator>
  <cp:lastModifiedBy>zzedu</cp:lastModifiedBy>
  <cp:lastPrinted>2021-09-15T01:12:00Z</cp:lastPrinted>
  <dcterms:modified xsi:type="dcterms:W3CDTF">2021-09-15T10:02:04Z</dcterms:modified>
  <dc:title>全市教育系统易燃可燃夹芯材料彩钢板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DE1D080FCF334B378E4A8748CDB59F8B</vt:lpwstr>
  </property>
</Properties>
</file>